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C2" w:rsidRDefault="00CD71C2" w:rsidP="00CD71C2">
      <w:pPr>
        <w:rPr>
          <w:rFonts w:ascii="Myriad Pro" w:hAnsi="Myriad Pro"/>
          <w:strike/>
          <w:color w:val="FF0000"/>
          <w:sz w:val="18"/>
          <w:szCs w:val="24"/>
        </w:rPr>
      </w:pPr>
    </w:p>
    <w:p w:rsidR="00F141A8" w:rsidRDefault="00F141A8" w:rsidP="00CD71C2">
      <w:pPr>
        <w:rPr>
          <w:rFonts w:ascii="Myriad Pro" w:hAnsi="Myriad Pro"/>
          <w:strike/>
          <w:color w:val="FF0000"/>
          <w:sz w:val="18"/>
          <w:szCs w:val="24"/>
        </w:rPr>
      </w:pPr>
    </w:p>
    <w:p w:rsidR="00F141A8" w:rsidRPr="00F141A8" w:rsidRDefault="00F141A8" w:rsidP="00F141A8">
      <w:pPr>
        <w:jc w:val="center"/>
        <w:rPr>
          <w:rFonts w:ascii="Myriad Pro" w:hAnsi="Myriad Pro"/>
          <w:b/>
          <w:color w:val="000000" w:themeColor="text1"/>
          <w:sz w:val="24"/>
          <w:szCs w:val="24"/>
        </w:rPr>
      </w:pPr>
      <w:r w:rsidRPr="00F141A8">
        <w:rPr>
          <w:rFonts w:ascii="Myriad Pro" w:hAnsi="Myriad Pro"/>
          <w:b/>
          <w:color w:val="000000" w:themeColor="text1"/>
          <w:sz w:val="24"/>
          <w:szCs w:val="24"/>
        </w:rPr>
        <w:t>Подготовка к УЗИ брюшной полости</w:t>
      </w:r>
    </w:p>
    <w:p w:rsidR="00F141A8" w:rsidRPr="00F141A8" w:rsidRDefault="00F141A8" w:rsidP="00F141A8">
      <w:pPr>
        <w:jc w:val="both"/>
        <w:rPr>
          <w:rFonts w:ascii="Myriad Pro" w:hAnsi="Myriad Pro"/>
          <w:color w:val="000000" w:themeColor="text1"/>
          <w:sz w:val="24"/>
          <w:szCs w:val="24"/>
        </w:rPr>
      </w:pPr>
    </w:p>
    <w:p w:rsidR="00F141A8" w:rsidRDefault="00F141A8" w:rsidP="00F141A8">
      <w:pPr>
        <w:ind w:firstLine="567"/>
        <w:contextualSpacing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Одним из распространенных методов диагностики внутренних органов считается ультразвуковое исследование. </w:t>
      </w:r>
    </w:p>
    <w:p w:rsidR="00F141A8" w:rsidRPr="00F141A8" w:rsidRDefault="00F141A8" w:rsidP="00F141A8">
      <w:pPr>
        <w:ind w:firstLine="567"/>
        <w:contextualSpacing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>Для получения точных результатов исследования, необходимо знать особенности подготовки к диагностике. С этой целью необходимо придерживаться следующих правил: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Не употреблять пищу и не пить жидкость за 4-5 часов до УЗИ. Можно пить воду перед диагностикой лишь в том случае, когда пациенту необходимо обследовать почки или при удаленном желчном пузыре.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Чтобы очистить кишечник, желательно перед прохождением диагностики сделать клизму. Можно обойтись также без клизмы – тогда специалист посоветует принять лекарственные средства, предназначенные для очистки органа. Это такие препараты, как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Сенадексин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Фортранс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Прелаксан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Сенаде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Дуфалак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Нормазе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, обладающие слабительным действием. Можно на протяжении двух дней принимать адсорбенты, например,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Эспумизан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 или Активированный уголь.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Желательно за несколько суток до процедуры не употреблять </w:t>
      </w:r>
      <w:proofErr w:type="spellStart"/>
      <w:r w:rsidRPr="00F141A8">
        <w:rPr>
          <w:rFonts w:ascii="Myriad Pro" w:hAnsi="Myriad Pro"/>
          <w:color w:val="000000" w:themeColor="text1"/>
          <w:sz w:val="24"/>
          <w:szCs w:val="24"/>
        </w:rPr>
        <w:t>алкоголесодержащие</w:t>
      </w:r>
      <w:proofErr w:type="spellEnd"/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 напитки. За два часа перед УЗИ не рекомендовано также курить.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Лучше всего процедуру осуществлять на голодный желудок с самого утра.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За несколько часов до исследования нельзя жевать жвачку и леденцы.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После рентгена ультразвуковое исследование рекомендуется проводить через трое суток. </w:t>
      </w:r>
    </w:p>
    <w:p w:rsidR="00F141A8" w:rsidRDefault="00F141A8" w:rsidP="00F141A8">
      <w:pPr>
        <w:pStyle w:val="a3"/>
        <w:numPr>
          <w:ilvl w:val="0"/>
          <w:numId w:val="1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Если пациент накануне принимал любые обезболивающие средства, об этом необходимо сообщить специалисту. </w:t>
      </w:r>
    </w:p>
    <w:p w:rsidR="00F141A8" w:rsidRDefault="00F141A8" w:rsidP="00F141A8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 xml:space="preserve">Перед диагностикой брюшной полости рекомендуется три дня соблюдать диету, исключающую из рациона такие продукты: 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Газированные напитки;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Молоко;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Фрукты и овощи в сыром виде;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Жирное мясо;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Кондитерские изделия;</w:t>
      </w:r>
    </w:p>
    <w:p w:rsid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Фруктовые соки;</w:t>
      </w:r>
    </w:p>
    <w:p w:rsidR="00F141A8" w:rsidRPr="00F141A8" w:rsidRDefault="00F141A8" w:rsidP="00F141A8">
      <w:pPr>
        <w:pStyle w:val="a3"/>
        <w:numPr>
          <w:ilvl w:val="0"/>
          <w:numId w:val="2"/>
        </w:numPr>
        <w:ind w:left="0" w:firstLine="284"/>
        <w:jc w:val="both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>Черный хлеб.</w:t>
      </w:r>
    </w:p>
    <w:p w:rsidR="00F141A8" w:rsidRDefault="00F141A8" w:rsidP="00F141A8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F141A8">
        <w:rPr>
          <w:rFonts w:ascii="Myriad Pro" w:hAnsi="Myriad Pro"/>
          <w:color w:val="000000" w:themeColor="text1"/>
          <w:sz w:val="24"/>
          <w:szCs w:val="24"/>
        </w:rPr>
        <w:t>Кроме того, нельзя употреблять в эти дни жирную, острую и жареную еду. Ограничение таких продуктов способствует значительному снижению газообразования в кишечнике, что позволит специалисту лучше обследовать брюшную полость. Желательно, чтобы питание было дробным, через каждые три часа.</w:t>
      </w:r>
    </w:p>
    <w:p w:rsidR="002D7267" w:rsidRPr="002D7267" w:rsidRDefault="002D7267" w:rsidP="002D7267">
      <w:pPr>
        <w:jc w:val="both"/>
        <w:rPr>
          <w:rFonts w:ascii="Myriad Pro" w:hAnsi="Myriad Pro"/>
          <w:color w:val="000000" w:themeColor="text1"/>
          <w:sz w:val="24"/>
          <w:szCs w:val="24"/>
        </w:rPr>
      </w:pPr>
      <w:bookmarkStart w:id="0" w:name="_GoBack"/>
      <w:bookmarkEnd w:id="0"/>
    </w:p>
    <w:sectPr w:rsidR="002D7267" w:rsidRPr="002D7267" w:rsidSect="002D726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9F4"/>
    <w:multiLevelType w:val="hybridMultilevel"/>
    <w:tmpl w:val="D624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677F6"/>
    <w:multiLevelType w:val="hybridMultilevel"/>
    <w:tmpl w:val="D59420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7AB"/>
    <w:rsid w:val="000131D4"/>
    <w:rsid w:val="00013E77"/>
    <w:rsid w:val="00203EDB"/>
    <w:rsid w:val="00253D1B"/>
    <w:rsid w:val="002B49C0"/>
    <w:rsid w:val="002D7267"/>
    <w:rsid w:val="0032312A"/>
    <w:rsid w:val="004B17AB"/>
    <w:rsid w:val="004B6FE9"/>
    <w:rsid w:val="0062559F"/>
    <w:rsid w:val="00715E71"/>
    <w:rsid w:val="00853A1C"/>
    <w:rsid w:val="0086561E"/>
    <w:rsid w:val="008B7B1F"/>
    <w:rsid w:val="009E0EE7"/>
    <w:rsid w:val="00A955FF"/>
    <w:rsid w:val="00A97F1F"/>
    <w:rsid w:val="00AB2B3C"/>
    <w:rsid w:val="00BB68F6"/>
    <w:rsid w:val="00C026E9"/>
    <w:rsid w:val="00C71E12"/>
    <w:rsid w:val="00CA3C63"/>
    <w:rsid w:val="00CD618F"/>
    <w:rsid w:val="00CD71C2"/>
    <w:rsid w:val="00CE1C78"/>
    <w:rsid w:val="00D20DAF"/>
    <w:rsid w:val="00ED0A86"/>
    <w:rsid w:val="00F141A8"/>
    <w:rsid w:val="00F31238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834DA-152D-41A6-8C86-92F3F0DF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Белоус</dc:creator>
  <cp:lastModifiedBy>Татьяна А. Щербатова</cp:lastModifiedBy>
  <cp:revision>18</cp:revision>
  <cp:lastPrinted>2018-05-28T12:15:00Z</cp:lastPrinted>
  <dcterms:created xsi:type="dcterms:W3CDTF">2018-05-04T12:17:00Z</dcterms:created>
  <dcterms:modified xsi:type="dcterms:W3CDTF">2018-06-18T11:50:00Z</dcterms:modified>
</cp:coreProperties>
</file>